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100" w:lineRule="atLeast"/>
        <w:jc w:val="right"/>
      </w:pPr>
      <w:r>
        <w:rPr>
          <w:rFonts w:ascii="Times New Roman" w:cs="Times New Roman" w:hAnsi="Times New Roman"/>
          <w:b/>
          <w:i/>
          <w:sz w:val="32"/>
          <w:szCs w:val="32"/>
          <w:lang w:val="uk-UA"/>
        </w:rPr>
        <w:t xml:space="preserve">Муратова І.А. </w:t>
      </w:r>
    </w:p>
    <w:p>
      <w:pPr>
        <w:pStyle w:val="style0"/>
        <w:spacing w:after="0" w:before="0" w:line="100" w:lineRule="atLeast"/>
        <w:jc w:val="right"/>
      </w:pPr>
      <w:r>
        <w:rPr>
          <w:rFonts w:ascii="Times New Roman" w:cs="Times New Roman" w:hAnsi="Times New Roman"/>
          <w:b/>
          <w:i/>
          <w:sz w:val="32"/>
          <w:szCs w:val="32"/>
          <w:lang w:val="uk-UA"/>
        </w:rPr>
        <w:t>м. Київ</w:t>
      </w:r>
    </w:p>
    <w:p>
      <w:pPr>
        <w:pStyle w:val="style0"/>
        <w:spacing w:after="0" w:before="0" w:line="100" w:lineRule="atLeast"/>
        <w:jc w:val="right"/>
      </w:pPr>
      <w:hyperlink r:id="rId2">
        <w:r>
          <w:rPr>
            <w:rStyle w:val="style16"/>
            <w:rFonts w:ascii="Times New Roman" w:cs="Times New Roman" w:hAnsi="Times New Roman"/>
            <w:sz w:val="32"/>
            <w:szCs w:val="32"/>
            <w:lang w:val="uk-UA"/>
          </w:rPr>
          <w:t>irene41a@gmail.com</w:t>
        </w:r>
      </w:hyperlink>
    </w:p>
    <w:p>
      <w:pPr>
        <w:pStyle w:val="style22"/>
        <w:jc w:val="center"/>
      </w:pPr>
      <w:r>
        <w:rPr>
          <w:b/>
          <w:bCs/>
          <w:color w:val="00000A"/>
          <w:sz w:val="32"/>
          <w:szCs w:val="32"/>
          <w:lang w:val="uk-UA"/>
        </w:rPr>
      </w:r>
    </w:p>
    <w:p>
      <w:pPr>
        <w:pStyle w:val="style22"/>
        <w:spacing w:line="360" w:lineRule="auto"/>
        <w:jc w:val="center"/>
      </w:pPr>
      <w:r>
        <w:rPr>
          <w:b/>
          <w:bCs/>
          <w:color w:val="00000A"/>
          <w:sz w:val="32"/>
          <w:szCs w:val="32"/>
          <w:lang w:val="uk-UA"/>
        </w:rPr>
        <w:t>Відкрита освітня технологія</w:t>
      </w:r>
    </w:p>
    <w:p>
      <w:pPr>
        <w:pStyle w:val="style22"/>
        <w:spacing w:line="360" w:lineRule="auto"/>
        <w:ind w:firstLine="720" w:left="0" w:right="0"/>
        <w:jc w:val="both"/>
      </w:pPr>
      <w:r>
        <w:rPr>
          <w:bCs/>
          <w:color w:val="00000A"/>
          <w:sz w:val="32"/>
          <w:szCs w:val="32"/>
          <w:lang w:val="uk-UA"/>
        </w:rPr>
        <w:t>Комп’ютеризовані системи навчання і викладання, взаємна освіта, інтерактивні медіа, телекомунікації та Інтернет безумовно розширюють можливості сучасної освіти як у зв’язку зі зростанням кількості вільно доступних новітніх інструментів і ресурсів, так і через дедалі більшу відкритість і ширше залучення людей до освіти. З’являється багато нових ініціатив, чимало з яких потенційно здатні радикально змінити освітнє середовище. Однією з них є широкий міжнародний рух відкритої освіти, який об’єднує фахівців різних галузей і породжує як об’єктивні зміни у навчальних закладах і навчальному процесі, так і численні дискусії щодо проблем і перспектив відкритої освіти. Проте все більша кількість навчальних матеріалів, модулів та цілісних курсів, що розроблені та використовуються окремими авторами і авторськими колективами освітян, з’являється у відкритому доступі на відкритих освітніх ресурсах.</w:t>
      </w:r>
    </w:p>
    <w:p>
      <w:pPr>
        <w:pStyle w:val="style22"/>
        <w:spacing w:line="360" w:lineRule="auto"/>
        <w:ind w:firstLine="720" w:left="0" w:right="0"/>
        <w:jc w:val="both"/>
      </w:pPr>
      <w:r>
        <w:rPr>
          <w:bCs/>
          <w:color w:val="00000A"/>
          <w:sz w:val="32"/>
          <w:szCs w:val="32"/>
          <w:lang w:val="uk-UA"/>
        </w:rPr>
        <w:t>Термін «відкрита освітня технологія» має широке значення, яке охоплює поняття вільного обміну, спільного користування і співпраці, а також проектування, розвиток і реалізацію цих процесів. Перспективи цих розробок залежать від зростання масштабів їх організації та створення, підтримки і поширення технологій відкритого коду. Дані технології полягають не просто у використанні швидкості та дешевизни передачі інформації через Інтернет, мета і поле їх застосування також не обмежуються лише більшим поширенням знань.</w:t>
      </w:r>
      <w:r>
        <w:rPr>
          <w:sz w:val="32"/>
          <w:szCs w:val="32"/>
          <w:lang w:val="uk-UA"/>
        </w:rPr>
        <w:t xml:space="preserve"> </w:t>
      </w:r>
      <w:r>
        <w:rPr>
          <w:bCs/>
          <w:color w:val="00000A"/>
          <w:sz w:val="32"/>
          <w:szCs w:val="32"/>
          <w:lang w:val="uk-UA"/>
        </w:rPr>
        <w:t>В основі цих технологічних ініціатив лежить розширення понять викладання і навчання. Основна увага при цьому приділяється унікальному для певного місця поєднанню певного спільного змісту і форм діяльності учнів у групі, а також співробітництву і взаємодії з іншими групами. Визначальні риси відкритої освітньої технології – це наочність, соціальна взаємодія, спільне творення цілей і моделей, безперешкодний доступ до ресурсів. Викладацька і навчальна діяльність, що уможливлюється середовищем освітньої відкритості, характеризується співпрацею і творчим обміном. Відкриті освітні технології відновлюють соціальний характер навчання, чим надто часто нехтують у традиційних формах. Це відновлення забезпечується залученням учнів до роботи на комп’ютерах, об’єднаних у мережі. Мережеві розмови і діалоги створюють нові комунікативні ситуації, що займають проміжне становище між мовленням і письмом, і є певним різновидом «триваючої/наочної розмови», засобом комунікації, раніше недоступним у навчальних аудиторіях. Навчання у цьому плані є передусім участю особи у певній неперервній діяльності спілкування, що висуває на перший план соціалізуючий характер освіти.</w:t>
      </w:r>
    </w:p>
    <w:p>
      <w:pPr>
        <w:pStyle w:val="style22"/>
        <w:spacing w:line="360" w:lineRule="auto"/>
        <w:ind w:firstLine="720" w:left="0" w:right="0"/>
        <w:jc w:val="both"/>
      </w:pPr>
      <w:r>
        <w:rPr>
          <w:bCs/>
          <w:color w:val="00000A"/>
          <w:sz w:val="32"/>
          <w:szCs w:val="32"/>
          <w:lang w:val="uk-UA"/>
        </w:rPr>
        <w:t>Посилення взаємопов’язаності у позааудиторному середовищі завдяки розвитку технологій долає традиційні уявлення про те, що студенти мають діяти у певному навчальному середовищі, відокремленому від зовнішнього світу. Адже значну частину свого вільного часу вони проводять, беручи участь у мережній діяльності, що передбачає наслідування, обмін і співпрацю, чим докорінно змінюється уявлення про навчальну діяльність та про її організацію педагогами. Неухильне зростання темпів соціальних процесів і змін веде до того, що знання дедалі швидше потрібно оновлювати, а отже, все більша частина процесу навчання виходить за межі традиційних навчальних закладів.</w:t>
      </w:r>
    </w:p>
    <w:p>
      <w:pPr>
        <w:pStyle w:val="style22"/>
        <w:spacing w:line="360" w:lineRule="auto"/>
        <w:ind w:firstLine="720" w:left="0" w:right="0"/>
        <w:jc w:val="both"/>
      </w:pPr>
      <w:r>
        <w:rPr>
          <w:bCs/>
          <w:color w:val="00000A"/>
          <w:sz w:val="32"/>
          <w:szCs w:val="32"/>
          <w:lang w:val="uk-UA"/>
        </w:rPr>
        <w:t xml:space="preserve">Поширення відкритих освітніх технологій пов’язане з плануванням, організацією, розробкою та впровадженням інформаційних технологій, на яких вони базуються. А це вимагає складної організації та колективної взаємодії  людей різних галузей і сфер діяльності. За цих умов питання авторства і власності у багатьох неаудиторних ситуаціях тлумачаться зовсім по-різному. Якщо програми з відкритим кодом розробляються і поширюються великими міжнародними консорціумами багатьох установ, яким вони і належать, то виникають проблеми визначення  власників і користувачів та організації участі зацікавлених сторін у процесі проектування. </w:t>
      </w:r>
    </w:p>
    <w:p>
      <w:pPr>
        <w:pStyle w:val="style22"/>
        <w:spacing w:line="360" w:lineRule="auto"/>
        <w:ind w:firstLine="720" w:left="0" w:right="0"/>
        <w:jc w:val="both"/>
      </w:pPr>
      <w:r>
        <w:rPr>
          <w:bCs/>
          <w:color w:val="00000A"/>
          <w:sz w:val="32"/>
          <w:szCs w:val="32"/>
          <w:lang w:val="uk-UA"/>
        </w:rPr>
        <w:t>Процес проектування і розробки програмного забезпечення особливо ускладнюється, коли слід визначати і узгоджувати потреби користувачів певної освітньої установи і потреби користувачів, що належать до ширшої спільноти</w:t>
      </w:r>
      <w:r>
        <w:rPr>
          <w:b/>
          <w:bCs/>
          <w:color w:val="00000A"/>
          <w:sz w:val="32"/>
          <w:szCs w:val="32"/>
          <w:lang w:val="uk-UA"/>
        </w:rPr>
        <w:t xml:space="preserve">. </w:t>
      </w:r>
      <w:r>
        <w:rPr>
          <w:bCs/>
          <w:color w:val="00000A"/>
          <w:sz w:val="32"/>
          <w:szCs w:val="32"/>
          <w:lang w:val="uk-UA"/>
        </w:rPr>
        <w:t>Досвід створення Visual Understanding Environment (VUE) (середовище візуального сприйняття) в Університеті Тафта показує, що вирішити це завдання вдалося за рахунок забезпечення його взаємодії з ресурсами електронних бібліотек іншого проекту – Ініціативи відкритого знання (Open Knowledge Initiative), щоб надати можливості додавання категорій та настроювання інтерфейсу відповідно до потреб користувачів. Адже певні вужчі, пристосовані до потреб однієї установи рішення можуть закрити доступ до користування цими засобами для інших.</w:t>
      </w:r>
    </w:p>
    <w:p>
      <w:pPr>
        <w:pStyle w:val="style22"/>
        <w:spacing w:line="360" w:lineRule="auto"/>
        <w:ind w:firstLine="720" w:left="0" w:right="0"/>
        <w:jc w:val="both"/>
      </w:pPr>
      <w:r>
        <w:rPr>
          <w:bCs/>
          <w:color w:val="00000A"/>
          <w:sz w:val="32"/>
          <w:szCs w:val="32"/>
          <w:lang w:val="uk-UA"/>
        </w:rPr>
        <w:t>Наприклад, програмне забезпечення Bodington – система управління навчанням з відкритим кодом, розроблена у Лідському університеті та застосована в навчальному процесі Оксфордського університету, – долає рольову ієрархію: викладач, помічник викладача (інструктор) і студент. Оскільки ролі такої ієрархії організовані головним чином навколо курсів, що читаються викладачами, то вона великою мірою закриває доступ до зовнішнього світу. Скажімо, така позірно малозначуща річ, як система авторизації на основі даних ролей, може завадити реалізації багатьох потенційних технологічних можливостей для відкриття освіти.</w:t>
      </w:r>
    </w:p>
    <w:p>
      <w:pPr>
        <w:pStyle w:val="style22"/>
        <w:spacing w:line="360" w:lineRule="auto"/>
        <w:ind w:firstLine="720" w:left="0" w:right="0"/>
        <w:jc w:val="both"/>
      </w:pPr>
      <w:r>
        <w:rPr>
          <w:bCs/>
          <w:color w:val="00000A"/>
          <w:sz w:val="32"/>
          <w:szCs w:val="32"/>
          <w:lang w:val="uk-UA"/>
        </w:rPr>
        <w:t>На користувачів Bodington накладається небагато обмежень. Дана система управління навчанням не диктує користувачам наперед заданої ролі, даючи змогу створювати ієрархії, групи, а в разі потреби запроваджувати вибірковий доступ в індивідуальному порядку. Групи, до яких можуть входити користувачі, мають дозволи на доступ до певних ресурсів, чим забезпечується гнучке, багатостороннє поширення матеріалів, наприклад, папок чи документів. У системі Bodington організаційні зв’язки охоплюють усіх залучених у навчальний процес – від індивідуальних «робочих місць» до дуже великих груп. І при цьому більшість освітніх ресурсів системи є відкритими для будь-якого користувача Інтернету. Отже організація і спілкування навчальних спільнот відбувається навколо спільної діяльності, у чому і полягає суть тих глибоких змін у сфері освіти, які ґрунтовані на інтернет-технологіях.</w:t>
      </w:r>
    </w:p>
    <w:p>
      <w:pPr>
        <w:pStyle w:val="style22"/>
        <w:spacing w:line="360" w:lineRule="auto"/>
        <w:ind w:firstLine="720" w:left="0" w:right="0"/>
        <w:jc w:val="both"/>
      </w:pPr>
      <w:r>
        <w:rPr>
          <w:bCs/>
          <w:color w:val="00000A"/>
          <w:sz w:val="32"/>
          <w:szCs w:val="32"/>
          <w:lang w:val="uk-UA"/>
        </w:rPr>
        <w:t>Навчання тут не є простим результатом чи наслідком самого по собі процесу викладання – чи то у лабораторії, чи в аудиторії, чи в Інтернеті. Воно тут виходить далеко за межі викладання чогось окремим студентам. Натомість стає інституційна організація викладачів і студентів у групах, скоординована навколо певної діяльності з допомогою і за посередництва різноманітних технологічних інструментів. Викладання і навчання здійснюються тут як соціокультурні процеси, і навчання відбувається через розділену з іншими змінювану участь у соціально встановлюваних практиках і культурно значущої діяльності, в тому числі з допомогою та за посередництва технологій.</w:t>
      </w:r>
    </w:p>
    <w:p>
      <w:pPr>
        <w:pStyle w:val="style22"/>
        <w:spacing w:line="360" w:lineRule="auto"/>
        <w:ind w:firstLine="720" w:left="0" w:right="0"/>
        <w:jc w:val="both"/>
      </w:pPr>
      <w:r>
        <w:rPr>
          <w:bCs/>
          <w:color w:val="00000A"/>
          <w:sz w:val="32"/>
          <w:szCs w:val="32"/>
          <w:lang w:val="uk-UA"/>
        </w:rPr>
        <w:t>Ініціативи відкритої освіти мають неабиякий трансформаційний потенціал і можуть стати чинником справжніх змін в організації і діяльності навчальних закладів, вони здатні допомогти у подоланні найважливіших інституційних перешкод на шляху становлення освіти майбутнього.</w:t>
      </w:r>
    </w:p>
    <w:p>
      <w:pPr>
        <w:pStyle w:val="style22"/>
      </w:pPr>
      <w:r>
        <w:rPr>
          <w:sz w:val="32"/>
          <w:szCs w:val="32"/>
        </w:rPr>
      </w:r>
    </w:p>
    <w:sectPr>
      <w:type w:val="nextPage"/>
      <w:pgSz w:h="15840" w:w="12240"/>
      <w:pgMar w:bottom="1134" w:footer="0" w:gutter="0" w:header="0" w:left="1134" w:right="1134" w:top="1134"/>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styles.xml><?xml version="1.0" encoding="utf-8"?>
<w:styles xmlns:w="http://schemas.openxmlformats.org/wordprocessingml/2006/main">
  <w:style w:styleId="style0" w:type="paragraph">
    <w:name w:val="Базовый"/>
    <w:next w:val="style0"/>
    <w:pPr>
      <w:widowControl/>
      <w:tabs>
        <w:tab w:leader="none" w:pos="720" w:val="left"/>
      </w:tabs>
      <w:suppressAutoHyphens w:val="true"/>
      <w:spacing w:after="200" w:before="0" w:line="276" w:lineRule="auto"/>
    </w:pPr>
    <w:rPr>
      <w:rFonts w:ascii="Calibri" w:cs="" w:eastAsia="WenQuanYi Zen Hei" w:hAnsi="Calibri"/>
      <w:color w:val="auto"/>
      <w:sz w:val="22"/>
      <w:szCs w:val="22"/>
      <w:lang w:bidi="ar-SA" w:eastAsia="en-US" w:val="en-US"/>
    </w:rPr>
  </w:style>
  <w:style w:styleId="style15" w:type="character">
    <w:name w:val="Default Paragraph Font"/>
    <w:next w:val="style15"/>
    <w:rPr/>
  </w:style>
  <w:style w:styleId="style16" w:type="character">
    <w:name w:val="Интернет-ссылка"/>
    <w:basedOn w:val="style15"/>
    <w:next w:val="style16"/>
    <w:rPr>
      <w:color w:val="0000FF"/>
      <w:u w:val="single"/>
      <w:lang w:bidi="ru-RU" w:eastAsia="ru-RU" w:val="ru-RU"/>
    </w:rPr>
  </w:style>
  <w:style w:styleId="style17" w:type="paragraph">
    <w:name w:val="Заголовок"/>
    <w:basedOn w:val="style0"/>
    <w:next w:val="style18"/>
    <w:pPr>
      <w:keepNext/>
      <w:spacing w:after="120" w:before="240"/>
    </w:pPr>
    <w:rPr>
      <w:rFonts w:ascii="Liberation Sans" w:cs="FreeSans" w:eastAsia="WenQuanYi Zen Hei" w:hAnsi="Liberation Sans"/>
      <w:sz w:val="28"/>
      <w:szCs w:val="28"/>
    </w:rPr>
  </w:style>
  <w:style w:styleId="style18" w:type="paragraph">
    <w:name w:val="Основной текст"/>
    <w:basedOn w:val="style0"/>
    <w:next w:val="style18"/>
    <w:pPr>
      <w:spacing w:after="120" w:before="0"/>
    </w:pPr>
    <w:rPr/>
  </w:style>
  <w:style w:styleId="style19" w:type="paragraph">
    <w:name w:val="Список"/>
    <w:basedOn w:val="style18"/>
    <w:next w:val="style19"/>
    <w:pPr/>
    <w:rPr>
      <w:rFonts w:cs="FreeSans"/>
    </w:rPr>
  </w:style>
  <w:style w:styleId="style20" w:type="paragraph">
    <w:name w:val="Название"/>
    <w:basedOn w:val="style0"/>
    <w:next w:val="style20"/>
    <w:pPr>
      <w:suppressLineNumbers/>
      <w:spacing w:after="120" w:before="120"/>
    </w:pPr>
    <w:rPr>
      <w:rFonts w:cs="FreeSans"/>
      <w:i/>
      <w:iCs/>
      <w:sz w:val="24"/>
      <w:szCs w:val="24"/>
    </w:rPr>
  </w:style>
  <w:style w:styleId="style21" w:type="paragraph">
    <w:name w:val="Указатель"/>
    <w:basedOn w:val="style0"/>
    <w:next w:val="style21"/>
    <w:pPr>
      <w:suppressLineNumbers/>
    </w:pPr>
    <w:rPr>
      <w:rFonts w:cs="FreeSans"/>
    </w:rPr>
  </w:style>
  <w:style w:styleId="style22" w:type="paragraph">
    <w:name w:val="Normal"/>
    <w:next w:val="style22"/>
    <w:pPr>
      <w:widowControl/>
      <w:tabs>
        <w:tab w:leader="none" w:pos="720" w:val="left"/>
      </w:tabs>
      <w:suppressAutoHyphens w:val="true"/>
      <w:spacing w:after="0" w:before="0" w:line="100" w:lineRule="atLeast"/>
    </w:pPr>
    <w:rPr>
      <w:rFonts w:ascii="Times New Roman" w:cs="Times New Roman" w:eastAsia="WenQuanYi Zen Hei" w:hAnsi="Times New Roman"/>
      <w:color w:val="000000"/>
      <w:sz w:val="24"/>
      <w:szCs w:val="24"/>
      <w:lang w:bidi="ar-SA" w:eastAsia="en-US" w:val="en-U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rene41a@gmail.com" TargetMode="External"/><Relationship Id="rId3"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610</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2015-11-17T16:02:00.00Z</dcterms:created>
  <dc:creator>Ya</dc:creator>
  <cp:lastModifiedBy>Ya</cp:lastModifiedBy>
  <dcterms:modified xsi:type="dcterms:W3CDTF">2015-11-20T20:11:00.00Z</dcterms:modified>
  <cp:revision>69</cp:revision>
</cp:coreProperties>
</file>